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304983</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Electronic Meeting</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w:t>
      </w:r>
      <w:r>
        <w:rPr>
          <w:rFonts w:hint="eastAsia" w:ascii="Arial" w:hAnsi="Arial" w:eastAsia="宋体" w:cs="Arial"/>
          <w:b/>
          <w:bCs/>
          <w:sz w:val="24"/>
          <w:szCs w:val="24"/>
          <w:lang w:val="en-US" w:eastAsia="zh-CN"/>
        </w:rPr>
        <w:t xml:space="preserve">7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general aspects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5.14</w:t>
      </w:r>
      <w:bookmarkStart w:id="1" w:name="_GoBack"/>
      <w:bookmarkEnd w:id="1"/>
      <w:r>
        <w:rPr>
          <w:rFonts w:hint="eastAsia" w:eastAsia="宋体"/>
          <w:color w:val="auto"/>
          <w:sz w:val="24"/>
          <w:highlight w:val="none"/>
          <w:lang w:val="en-US" w:eastAsia="zh-CN"/>
        </w:rPr>
        <w:t>.4.1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on RRM aspects in ATG case. The following conclusion were achieved in [1] around general aspects: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9514" w:type="dxa"/>
          </w:tcPr>
          <w:p>
            <w:pPr>
              <w:rPr>
                <w:rFonts w:eastAsia="Malgun Gothic"/>
                <w:b/>
                <w:sz w:val="20"/>
                <w:szCs w:val="20"/>
                <w:u w:val="single"/>
                <w:lang w:eastAsia="ko-KR"/>
              </w:rPr>
            </w:pPr>
            <w:r>
              <w:rPr>
                <w:b/>
                <w:sz w:val="20"/>
                <w:szCs w:val="20"/>
                <w:u w:val="single"/>
                <w:lang w:eastAsia="ko-KR"/>
              </w:rPr>
              <w:t>Issue 1-1-5: How to involve ATG RRM core requirements in TS38.133</w:t>
            </w:r>
          </w:p>
          <w:p>
            <w:pPr>
              <w:pStyle w:val="28"/>
              <w:numPr>
                <w:ilvl w:val="0"/>
                <w:numId w:val="3"/>
              </w:numPr>
              <w:spacing w:after="120"/>
              <w:ind w:firstLineChars="0"/>
              <w:rPr>
                <w:rFonts w:eastAsia="宋体" w:cs="Times New Roman"/>
                <w:sz w:val="20"/>
                <w:szCs w:val="20"/>
              </w:rPr>
            </w:pPr>
            <w:r>
              <w:rPr>
                <w:rFonts w:eastAsia="宋体" w:cs="Times New Roman"/>
                <w:sz w:val="20"/>
                <w:szCs w:val="20"/>
              </w:rPr>
              <w:t xml:space="preserve">Option 1: ATG specific RRM requirements are defined in separate sections in specification. </w:t>
            </w:r>
          </w:p>
          <w:p>
            <w:pPr>
              <w:pStyle w:val="28"/>
              <w:numPr>
                <w:ilvl w:val="0"/>
                <w:numId w:val="3"/>
              </w:numPr>
              <w:spacing w:after="120"/>
              <w:ind w:firstLineChars="0"/>
              <w:rPr>
                <w:rFonts w:hint="default"/>
                <w:lang w:val="en-US" w:eastAsia="zh-CN"/>
              </w:rPr>
            </w:pPr>
            <w:r>
              <w:rPr>
                <w:rFonts w:eastAsia="宋体" w:cs="Times New Roman"/>
                <w:sz w:val="20"/>
                <w:szCs w:val="20"/>
              </w:rPr>
              <w:t xml:space="preserve">Option 2: Add ATG related requirements in the current corresponding section, similar as HST. </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While still several general aspects are suspending. In this document, we will provide some further analysis on the remaining general issues of ATG based on the characteristics of ATG scenario.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characteristics of ATG system and some approved assumption in RF session, the following key points should be noted:</w:t>
      </w:r>
    </w:p>
    <w:p>
      <w:pPr>
        <w:numPr>
          <w:ilvl w:val="0"/>
          <w:numId w:val="5"/>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5"/>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5"/>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5"/>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5"/>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5"/>
        </w:numPr>
        <w:ind w:left="420" w:leftChars="0" w:hanging="420" w:firstLineChars="0"/>
        <w:rPr>
          <w:rFonts w:hint="default"/>
          <w:lang w:val="en-US" w:eastAsia="zh-CN"/>
        </w:rPr>
      </w:pPr>
      <w:r>
        <w:rPr>
          <w:rFonts w:hint="eastAsia"/>
          <w:lang w:val="en-US" w:eastAsia="zh-CN"/>
        </w:rPr>
        <w:t>Height of CPE: 3km--10km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analysis for multiple RRM aspects given all the above key points of ATG system.</w:t>
      </w:r>
    </w:p>
    <w:p>
      <w:pPr>
        <w:pStyle w:val="3"/>
        <w:numPr>
          <w:ilvl w:val="0"/>
          <w:numId w:val="0"/>
        </w:numPr>
        <w:bidi w:val="0"/>
        <w:ind w:leftChars="0"/>
        <w:rPr>
          <w:rFonts w:hint="eastAsia" w:ascii="Helvetica" w:hAnsi="Helvetica" w:eastAsia="宋体" w:cs="Times New Roman"/>
          <w:b/>
          <w:bCs/>
          <w:iCs w:val="0"/>
          <w:color w:val="auto"/>
          <w:kern w:val="32"/>
          <w:sz w:val="28"/>
          <w:szCs w:val="32"/>
          <w:lang w:val="zh-CN" w:eastAsia="zh-CN" w:bidi="ar-SA"/>
        </w:rPr>
      </w:pPr>
      <w:r>
        <w:rPr>
          <w:rFonts w:hint="eastAsia" w:ascii="Helvetica" w:hAnsi="Helvetica" w:eastAsia="宋体" w:cs="Times New Roman"/>
          <w:b/>
          <w:bCs/>
          <w:iCs w:val="0"/>
          <w:color w:val="auto"/>
          <w:kern w:val="32"/>
          <w:sz w:val="28"/>
          <w:szCs w:val="32"/>
          <w:lang w:val="en-US" w:eastAsia="zh-CN" w:bidi="ar-SA"/>
        </w:rPr>
        <w:t>2.1 Maximum distance between CPE and BS</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During last meeting, this issue was discussed but no agreements achieved. However in fact the timing related requirements were discussed based on assumption in the following Option 1-1. Here we provide the analysis of the maximum distance in details.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1020" w:leftChars="0" w:hanging="363" w:firstLineChars="0"/>
              <w:textAlignment w:val="auto"/>
              <w:rPr>
                <w:rFonts w:eastAsia="宋体"/>
                <w:szCs w:val="24"/>
                <w:lang w:eastAsia="zh-CN"/>
              </w:rPr>
            </w:pPr>
            <w:r>
              <w:rPr>
                <w:rFonts w:eastAsia="宋体"/>
                <w:szCs w:val="24"/>
                <w:lang w:eastAsia="zh-CN"/>
              </w:rPr>
              <w:t xml:space="preserve">Option </w:t>
            </w:r>
            <w:r>
              <w:rPr>
                <w:rFonts w:hint="eastAsia" w:eastAsia="宋体"/>
                <w:szCs w:val="24"/>
                <w:lang w:eastAsia="zh-CN"/>
              </w:rPr>
              <w:t>1</w:t>
            </w:r>
            <w:r>
              <w:rPr>
                <w:rFonts w:eastAsia="宋体"/>
                <w:szCs w:val="24"/>
                <w:lang w:eastAsia="zh-CN"/>
              </w:rPr>
              <w:t>: The maximum distance between ATG BS and aircraft UE for RRM analysis is 250km. (CMCC)</w:t>
            </w:r>
          </w:p>
          <w:p>
            <w:pPr>
              <w:pStyle w:val="57"/>
              <w:keepNext w:val="0"/>
              <w:keepLines w:val="0"/>
              <w:pageBreakBefore w:val="0"/>
              <w:widowControl w:val="0"/>
              <w:kinsoku/>
              <w:wordWrap/>
              <w:overflowPunct/>
              <w:topLinePunct w:val="0"/>
              <w:autoSpaceDE/>
              <w:autoSpaceDN/>
              <w:bidi w:val="0"/>
              <w:adjustRightInd/>
              <w:snapToGrid/>
              <w:spacing w:after="0" w:line="240" w:lineRule="auto"/>
              <w:ind w:left="1236" w:leftChars="0" w:hanging="363" w:firstLineChars="0"/>
              <w:textAlignment w:val="auto"/>
              <w:rPr>
                <w:lang w:eastAsia="zh-CN"/>
              </w:rPr>
            </w:pPr>
            <w:r>
              <w:rPr>
                <w:rFonts w:hint="eastAsia"/>
                <w:lang w:eastAsia="zh-CN"/>
              </w:rPr>
              <w:t>Option</w:t>
            </w:r>
            <w:r>
              <w:rPr>
                <w:lang w:eastAsia="zh-CN"/>
              </w:rPr>
              <w:t xml:space="preserve"> 1-1: (ZTE) </w:t>
            </w:r>
          </w:p>
          <w:p>
            <w:pPr>
              <w:pStyle w:val="28"/>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left="1956" w:leftChars="0" w:hanging="363" w:firstLineChars="0"/>
              <w:textAlignment w:val="auto"/>
              <w:rPr>
                <w:rFonts w:eastAsia="宋体"/>
                <w:szCs w:val="24"/>
                <w:lang w:eastAsia="zh-CN"/>
              </w:rPr>
            </w:pPr>
            <w:r>
              <w:rPr>
                <w:szCs w:val="24"/>
                <w:lang w:eastAsia="zh-CN"/>
              </w:rPr>
              <w:t>Under the assumption of traditional TN deployment, considering the ISD of 100-200 km, the maximum distance between CPE and BS is 68-134 km or 58-115 km.</w:t>
            </w:r>
          </w:p>
          <w:p>
            <w:pPr>
              <w:pStyle w:val="28"/>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left="1956" w:leftChars="0" w:hanging="363" w:firstLineChars="0"/>
              <w:textAlignment w:val="auto"/>
              <w:rPr>
                <w:rFonts w:eastAsia="宋体"/>
                <w:szCs w:val="24"/>
                <w:lang w:eastAsia="zh-CN"/>
              </w:rPr>
            </w:pPr>
            <w:r>
              <w:rPr>
                <w:szCs w:val="24"/>
                <w:lang w:eastAsia="zh-CN"/>
              </w:rPr>
              <w:t>Under the assumption of horizon beam coverage deployment, considering the ISD of 100-200 km, the maximum distance between CPE and BS is 120-220 km for non sub-array case and 150-250 km for sub-array case.</w:t>
            </w:r>
          </w:p>
          <w:p>
            <w:pPr>
              <w:pStyle w:val="28"/>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1020" w:leftChars="0" w:hanging="363" w:firstLineChars="0"/>
              <w:textAlignment w:val="auto"/>
              <w:rPr>
                <w:rFonts w:hint="eastAsia" w:eastAsia="宋体"/>
                <w:color w:val="auto"/>
                <w:sz w:val="20"/>
                <w:szCs w:val="20"/>
                <w:vertAlign w:val="baseline"/>
                <w:lang w:val="en-US" w:eastAsia="zh-CN"/>
              </w:rPr>
            </w:pPr>
            <w:r>
              <w:rPr>
                <w:rFonts w:eastAsia="宋体"/>
                <w:szCs w:val="24"/>
                <w:lang w:eastAsia="zh-CN"/>
              </w:rPr>
              <w:t>Option 2: No need to define the upper bound of cell range assumption unless clear RRM impact it identified. (HW)</w:t>
            </w:r>
          </w:p>
        </w:tc>
      </w:tr>
    </w:tbl>
    <w:p>
      <w:pPr>
        <w:pStyle w:val="4"/>
        <w:rPr>
          <w:rFonts w:hint="eastAsia" w:eastAsia="宋体"/>
          <w:color w:val="auto"/>
          <w:sz w:val="20"/>
          <w:szCs w:val="20"/>
          <w:lang w:val="en-US" w:eastAsia="zh-CN"/>
        </w:rPr>
      </w:pPr>
      <w:r>
        <w:rPr>
          <w:rFonts w:hint="eastAsia" w:eastAsia="宋体"/>
          <w:color w:val="auto"/>
          <w:sz w:val="20"/>
          <w:szCs w:val="20"/>
          <w:lang w:val="en-US" w:eastAsia="zh-CN"/>
        </w:rPr>
        <w:t>In our opinion, the traditional TN deployment is typical, which can be used for ATG scenario. Additionally, considering the horizon beam based coverage has been approved in RF session, so we believe there are two possible deployment for ATG scenario, as shown in Figure 1 and Figure 2.</w:t>
      </w:r>
    </w:p>
    <w:p>
      <w:pPr>
        <w:pStyle w:val="4"/>
        <w:jc w:val="center"/>
      </w:pPr>
      <w:r>
        <w:drawing>
          <wp:inline distT="0" distB="0" distL="114300" distR="114300">
            <wp:extent cx="4794250" cy="1894840"/>
            <wp:effectExtent l="0" t="0" r="6350" b="10160"/>
            <wp:docPr id="1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1"/>
                    <pic:cNvPicPr>
                      <a:picLocks noChangeAspect="1"/>
                    </pic:cNvPicPr>
                  </pic:nvPicPr>
                  <pic:blipFill>
                    <a:blip r:embed="rId5"/>
                    <a:stretch>
                      <a:fillRect/>
                    </a:stretch>
                  </pic:blipFill>
                  <pic:spPr>
                    <a:xfrm>
                      <a:off x="0" y="0"/>
                      <a:ext cx="4794250" cy="1894840"/>
                    </a:xfrm>
                    <a:prstGeom prst="rect">
                      <a:avLst/>
                    </a:prstGeom>
                    <a:noFill/>
                    <a:ln>
                      <a:noFill/>
                    </a:ln>
                  </pic:spPr>
                </pic:pic>
              </a:graphicData>
            </a:graphic>
          </wp:inline>
        </w:drawing>
      </w:r>
    </w:p>
    <w:p>
      <w:pPr>
        <w:pStyle w:val="4"/>
        <w:jc w:val="center"/>
        <w:rPr>
          <w:rFonts w:hint="eastAsia" w:eastAsia="宋体"/>
          <w:lang w:val="en-US" w:eastAsia="zh-CN"/>
        </w:rPr>
      </w:pPr>
      <w:r>
        <w:rPr>
          <w:rFonts w:hint="eastAsia" w:eastAsia="宋体"/>
          <w:lang w:val="en-US" w:eastAsia="zh-CN"/>
        </w:rPr>
        <w:t>Figure 1: Traditional TN deployment</w:t>
      </w:r>
    </w:p>
    <w:p>
      <w:pPr>
        <w:pStyle w:val="4"/>
        <w:jc w:val="center"/>
        <w:rPr>
          <w:rFonts w:hint="eastAsia" w:eastAsia="宋体"/>
          <w:lang w:val="en-US" w:eastAsia="zh-CN"/>
        </w:rPr>
      </w:pPr>
    </w:p>
    <w:p>
      <w:pPr>
        <w:pStyle w:val="4"/>
        <w:jc w:val="center"/>
      </w:pPr>
      <w:r>
        <w:drawing>
          <wp:inline distT="0" distB="0" distL="114300" distR="114300">
            <wp:extent cx="4478655" cy="1023620"/>
            <wp:effectExtent l="0" t="0" r="190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478655" cy="1023620"/>
                    </a:xfrm>
                    <a:prstGeom prst="rect">
                      <a:avLst/>
                    </a:prstGeom>
                    <a:noFill/>
                    <a:ln>
                      <a:noFill/>
                    </a:ln>
                  </pic:spPr>
                </pic:pic>
              </a:graphicData>
            </a:graphic>
          </wp:inline>
        </w:drawing>
      </w:r>
    </w:p>
    <w:p>
      <w:pPr>
        <w:pStyle w:val="4"/>
        <w:jc w:val="center"/>
        <w:rPr>
          <w:rFonts w:hint="default" w:eastAsia="宋体"/>
          <w:lang w:val="en-US" w:eastAsia="zh-CN"/>
        </w:rPr>
      </w:pPr>
      <w:r>
        <w:rPr>
          <w:rFonts w:hint="eastAsia" w:eastAsia="宋体"/>
          <w:lang w:val="en-US" w:eastAsia="zh-CN"/>
        </w:rPr>
        <w:t>Figure 2: Horizon beam coverage deployment</w:t>
      </w:r>
    </w:p>
    <w:p>
      <w:pPr>
        <w:pStyle w:val="4"/>
        <w:numPr>
          <w:ilvl w:val="0"/>
          <w:numId w:val="5"/>
        </w:numPr>
        <w:ind w:left="420" w:leftChars="0" w:hanging="420" w:firstLineChars="0"/>
        <w:jc w:val="both"/>
        <w:rPr>
          <w:rFonts w:hint="eastAsia"/>
          <w:lang w:val="en-US" w:eastAsia="zh-CN"/>
        </w:rPr>
      </w:pPr>
      <w:r>
        <w:rPr>
          <w:rFonts w:hint="eastAsia"/>
          <w:lang w:val="en-US" w:eastAsia="zh-CN"/>
        </w:rPr>
        <w:t>For traditional TN deployment, the maximum distance between CPE and BS can be assumed as below:</w:t>
      </w:r>
    </w:p>
    <w:p>
      <w:pPr>
        <w:pStyle w:val="4"/>
        <w:numPr>
          <w:ilvl w:val="0"/>
          <w:numId w:val="6"/>
        </w:numPr>
        <w:ind w:left="0" w:leftChars="0" w:firstLine="420" w:firstLineChars="0"/>
        <w:jc w:val="both"/>
        <w:rPr>
          <w:rFonts w:hint="default"/>
          <w:lang w:val="en-US" w:eastAsia="zh-CN"/>
        </w:rPr>
      </w:pPr>
      <w:r>
        <w:rPr>
          <w:rFonts w:hint="eastAsia"/>
          <w:lang w:val="en-US" w:eastAsia="zh-CN"/>
        </w:rPr>
        <w:t xml:space="preserve">For Deployment Method 1, considering the CPE altitude is relative very small compared with ISD, so </w:t>
      </w:r>
    </w:p>
    <w:p>
      <w:pPr>
        <w:pStyle w:val="4"/>
        <w:numPr>
          <w:ilvl w:val="0"/>
          <w:numId w:val="0"/>
        </w:numPr>
        <w:ind w:leftChars="400"/>
        <w:jc w:val="both"/>
        <w:rPr>
          <w:rFonts w:hint="eastAsia"/>
          <w:lang w:val="en-US" w:eastAsia="zh-CN"/>
        </w:rPr>
      </w:pPr>
      <w:r>
        <w:rPr>
          <w:rFonts w:hint="eastAsia"/>
          <w:lang w:val="en-US" w:eastAsia="zh-CN"/>
        </w:rPr>
        <w:t xml:space="preserve">ISD = [100, 200] km, </w:t>
      </w:r>
    </w:p>
    <w:p>
      <w:pPr>
        <w:pStyle w:val="4"/>
        <w:numPr>
          <w:ilvl w:val="0"/>
          <w:numId w:val="0"/>
        </w:numPr>
        <w:ind w:leftChars="400"/>
        <w:jc w:val="both"/>
        <w:rPr>
          <w:rFonts w:hint="default"/>
          <w:lang w:val="en-US" w:eastAsia="zh-CN"/>
        </w:rPr>
      </w:pPr>
      <w:r>
        <w:rPr>
          <w:rFonts w:hint="eastAsia"/>
          <w:lang w:val="en-US" w:eastAsia="zh-CN"/>
        </w:rPr>
        <w:t xml:space="preserve">Radius = ISD/3, </w:t>
      </w:r>
    </w:p>
    <w:p>
      <w:pPr>
        <w:pStyle w:val="4"/>
        <w:numPr>
          <w:ilvl w:val="0"/>
          <w:numId w:val="0"/>
        </w:numPr>
        <w:ind w:leftChars="400"/>
        <w:jc w:val="both"/>
        <w:rPr>
          <w:rFonts w:hint="default"/>
          <w:lang w:val="en-US" w:eastAsia="zh-CN"/>
        </w:rPr>
      </w:pPr>
      <w:r>
        <w:rPr>
          <w:rFonts w:hint="eastAsia"/>
          <w:lang w:val="en-US" w:eastAsia="zh-CN"/>
        </w:rPr>
        <w:t xml:space="preserve">Maximum distance between CPE and BS </w:t>
      </w:r>
      <w:r>
        <w:rPr>
          <w:rFonts w:hint="default" w:ascii="Arial" w:hAnsi="Arial" w:cs="Arial"/>
          <w:lang w:val="en-US" w:eastAsia="zh-CN"/>
        </w:rPr>
        <w:t>≈</w:t>
      </w:r>
      <w:r>
        <w:rPr>
          <w:rFonts w:hint="eastAsia"/>
          <w:lang w:val="en-US" w:eastAsia="zh-CN"/>
        </w:rPr>
        <w:t xml:space="preserve"> 2*Radius = </w:t>
      </w:r>
      <w:r>
        <w:rPr>
          <w:rFonts w:hint="eastAsia"/>
          <w:highlight w:val="yellow"/>
          <w:lang w:val="en-US" w:eastAsia="zh-CN"/>
        </w:rPr>
        <w:t>[68, 134]</w:t>
      </w:r>
      <w:r>
        <w:rPr>
          <w:rFonts w:hint="eastAsia"/>
          <w:lang w:val="en-US" w:eastAsia="zh-CN"/>
        </w:rPr>
        <w:t xml:space="preserve"> km.</w:t>
      </w:r>
    </w:p>
    <w:p>
      <w:pPr>
        <w:pStyle w:val="4"/>
        <w:numPr>
          <w:ilvl w:val="0"/>
          <w:numId w:val="7"/>
        </w:numPr>
        <w:ind w:left="0" w:leftChars="0" w:firstLine="420" w:firstLineChars="0"/>
        <w:jc w:val="both"/>
        <w:rPr>
          <w:rFonts w:hint="default"/>
          <w:lang w:val="en-US" w:eastAsia="zh-CN"/>
        </w:rPr>
      </w:pPr>
      <w:r>
        <w:rPr>
          <w:rFonts w:hint="eastAsia"/>
          <w:lang w:val="en-US" w:eastAsia="zh-CN"/>
        </w:rPr>
        <w:t xml:space="preserve">For Deployment Method 2, considering the CPE altitude is relative very small compared with ISD, so </w:t>
      </w:r>
    </w:p>
    <w:p>
      <w:pPr>
        <w:pStyle w:val="4"/>
        <w:numPr>
          <w:ilvl w:val="0"/>
          <w:numId w:val="0"/>
        </w:numPr>
        <w:ind w:leftChars="400"/>
        <w:jc w:val="both"/>
        <w:rPr>
          <w:rFonts w:hint="eastAsia"/>
          <w:lang w:val="en-US" w:eastAsia="zh-CN"/>
        </w:rPr>
      </w:pPr>
      <w:r>
        <w:rPr>
          <w:rFonts w:hint="eastAsia"/>
          <w:lang w:val="en-US" w:eastAsia="zh-CN"/>
        </w:rPr>
        <w:t xml:space="preserve">ISD = [100, 200] km, </w:t>
      </w:r>
    </w:p>
    <w:p>
      <w:pPr>
        <w:pStyle w:val="4"/>
        <w:numPr>
          <w:ilvl w:val="0"/>
          <w:numId w:val="0"/>
        </w:numPr>
        <w:ind w:leftChars="400"/>
        <w:jc w:val="both"/>
        <w:rPr>
          <w:rFonts w:hint="default"/>
          <w:lang w:val="en-US" w:eastAsia="zh-CN"/>
        </w:rPr>
      </w:pPr>
      <w:r>
        <w:rPr>
          <w:rFonts w:hint="eastAsia"/>
          <w:lang w:val="en-US" w:eastAsia="zh-CN"/>
        </w:rPr>
        <w:t>Radius = ISD/</w:t>
      </w:r>
      <w:r>
        <w:rPr>
          <w:rFonts w:hint="default" w:ascii="Arial" w:hAnsi="Arial" w:cs="Arial"/>
          <w:lang w:val="en-US" w:eastAsia="zh-CN"/>
        </w:rPr>
        <w:t>√</w:t>
      </w:r>
      <w:r>
        <w:rPr>
          <w:rFonts w:hint="eastAsia"/>
          <w:lang w:val="en-US" w:eastAsia="zh-CN"/>
        </w:rPr>
        <w:t xml:space="preserve">3, </w:t>
      </w:r>
    </w:p>
    <w:p>
      <w:pPr>
        <w:pStyle w:val="4"/>
        <w:numPr>
          <w:ilvl w:val="0"/>
          <w:numId w:val="0"/>
        </w:numPr>
        <w:ind w:leftChars="400"/>
        <w:jc w:val="both"/>
        <w:rPr>
          <w:rFonts w:hint="default"/>
          <w:lang w:val="en-US" w:eastAsia="zh-CN"/>
        </w:rPr>
      </w:pPr>
      <w:r>
        <w:rPr>
          <w:rFonts w:hint="eastAsia"/>
          <w:lang w:val="en-US" w:eastAsia="zh-CN"/>
        </w:rPr>
        <w:t xml:space="preserve">Maximum distance between CPE and BS </w:t>
      </w:r>
      <w:r>
        <w:rPr>
          <w:rFonts w:hint="default" w:ascii="Arial" w:hAnsi="Arial" w:cs="Arial"/>
          <w:lang w:val="en-US" w:eastAsia="zh-CN"/>
        </w:rPr>
        <w:t>≈</w:t>
      </w:r>
      <w:r>
        <w:rPr>
          <w:rFonts w:hint="eastAsia"/>
          <w:lang w:val="en-US" w:eastAsia="zh-CN"/>
        </w:rPr>
        <w:t xml:space="preserve"> Radius = </w:t>
      </w:r>
      <w:r>
        <w:rPr>
          <w:rFonts w:hint="eastAsia"/>
          <w:highlight w:val="yellow"/>
          <w:lang w:val="en-US" w:eastAsia="zh-CN"/>
        </w:rPr>
        <w:t>[58, 115]</w:t>
      </w:r>
      <w:r>
        <w:rPr>
          <w:rFonts w:hint="eastAsia"/>
          <w:lang w:val="en-US" w:eastAsia="zh-CN"/>
        </w:rPr>
        <w:t xml:space="preserve"> km.</w:t>
      </w:r>
    </w:p>
    <w:p>
      <w:pPr>
        <w:pStyle w:val="4"/>
        <w:numPr>
          <w:ilvl w:val="0"/>
          <w:numId w:val="8"/>
        </w:numPr>
        <w:ind w:left="420" w:leftChars="0" w:hanging="420" w:firstLineChars="0"/>
        <w:jc w:val="both"/>
        <w:rPr>
          <w:rFonts w:hint="default" w:eastAsia="宋体"/>
          <w:lang w:val="en-US" w:eastAsia="zh-CN"/>
        </w:rPr>
      </w:pPr>
      <w:r>
        <w:rPr>
          <w:rFonts w:hint="eastAsia" w:eastAsia="宋体"/>
          <w:lang w:val="en-US" w:eastAsia="zh-CN"/>
        </w:rPr>
        <w:t>For horizon beam coverage deployment, the maximum distance between CPE and BS can be assumed as below:</w:t>
      </w:r>
    </w:p>
    <w:p>
      <w:pPr>
        <w:pStyle w:val="4"/>
        <w:numPr>
          <w:ilvl w:val="0"/>
          <w:numId w:val="0"/>
        </w:numPr>
        <w:ind w:leftChars="400"/>
        <w:jc w:val="both"/>
        <w:rPr>
          <w:rFonts w:hint="eastAsia"/>
          <w:lang w:val="en-US" w:eastAsia="zh-CN"/>
        </w:rPr>
      </w:pPr>
      <w:r>
        <w:rPr>
          <w:rFonts w:hint="eastAsia"/>
          <w:lang w:val="en-US" w:eastAsia="zh-CN"/>
        </w:rPr>
        <w:t xml:space="preserve">ISD = [100, 200] km, </w:t>
      </w:r>
    </w:p>
    <w:p>
      <w:pPr>
        <w:pStyle w:val="4"/>
        <w:numPr>
          <w:ilvl w:val="0"/>
          <w:numId w:val="0"/>
        </w:numPr>
        <w:ind w:leftChars="400"/>
        <w:jc w:val="both"/>
        <w:rPr>
          <w:rFonts w:hint="default"/>
          <w:lang w:val="en-US" w:eastAsia="zh-CN"/>
        </w:rPr>
      </w:pPr>
      <w:r>
        <w:rPr>
          <w:rFonts w:hint="eastAsia"/>
          <w:lang w:val="en-US" w:eastAsia="zh-CN"/>
        </w:rPr>
        <w:t>In [3], some basic assumption was provided as follows:</w:t>
      </w:r>
    </w:p>
    <w:p>
      <w:pPr>
        <w:pStyle w:val="4"/>
        <w:numPr>
          <w:ilvl w:val="0"/>
          <w:numId w:val="0"/>
        </w:numPr>
        <w:ind w:leftChars="400"/>
        <w:jc w:val="both"/>
        <w:rPr>
          <w:rFonts w:hint="eastAsia"/>
          <w:lang w:val="en-US" w:eastAsia="zh-CN"/>
        </w:rPr>
      </w:pPr>
      <w:r>
        <w:rPr>
          <w:rFonts w:hint="eastAsia"/>
          <w:lang w:val="en-US" w:eastAsia="zh-CN"/>
        </w:rPr>
        <w:t xml:space="preserve">Base station vertical coverage range (degrees): 25°for non sub-array and 10°for sub-array, </w:t>
      </w:r>
    </w:p>
    <w:p>
      <w:pPr>
        <w:pStyle w:val="4"/>
        <w:numPr>
          <w:ilvl w:val="0"/>
          <w:numId w:val="0"/>
        </w:numPr>
        <w:ind w:leftChars="400"/>
        <w:jc w:val="both"/>
        <w:rPr>
          <w:rFonts w:hint="eastAsia"/>
          <w:lang w:val="en-US" w:eastAsia="zh-CN"/>
        </w:rPr>
      </w:pPr>
      <w:r>
        <w:rPr>
          <w:rFonts w:hint="eastAsia"/>
          <w:lang w:val="en-US" w:eastAsia="zh-CN"/>
        </w:rPr>
        <w:t>Mechanical up tilt (degrees): 14°for non sub-array and 6.5°for sub-array,</w:t>
      </w:r>
    </w:p>
    <w:p>
      <w:pPr>
        <w:pStyle w:val="4"/>
        <w:numPr>
          <w:ilvl w:val="0"/>
          <w:numId w:val="9"/>
        </w:numPr>
        <w:ind w:left="840" w:leftChars="0" w:hanging="420" w:firstLineChars="0"/>
        <w:jc w:val="both"/>
        <w:rPr>
          <w:rFonts w:hint="default"/>
          <w:lang w:val="en-US" w:eastAsia="zh-CN"/>
        </w:rPr>
      </w:pPr>
      <w:r>
        <w:rPr>
          <w:rFonts w:hint="eastAsia"/>
          <w:lang w:val="en-US" w:eastAsia="zh-CN"/>
        </w:rPr>
        <w:t>For non sub-array case</w:t>
      </w:r>
    </w:p>
    <w:p>
      <w:pPr>
        <w:pStyle w:val="4"/>
        <w:numPr>
          <w:ilvl w:val="0"/>
          <w:numId w:val="0"/>
        </w:numPr>
        <w:ind w:leftChars="400"/>
        <w:jc w:val="both"/>
        <w:rPr>
          <w:rFonts w:hint="default"/>
          <w:lang w:val="en-US" w:eastAsia="zh-CN"/>
        </w:rPr>
      </w:pPr>
      <w:r>
        <w:rPr>
          <w:rFonts w:hint="eastAsia"/>
          <w:lang w:val="en-US" w:eastAsia="zh-CN"/>
        </w:rPr>
        <w:t xml:space="preserve">For ISD = 100 km, Maximum distance between CPE and BS </w:t>
      </w:r>
      <w:r>
        <w:rPr>
          <w:rFonts w:hint="default" w:ascii="Arial" w:hAnsi="Arial" w:cs="Arial"/>
          <w:lang w:val="en-US" w:eastAsia="zh-CN"/>
        </w:rPr>
        <w:t>≈</w:t>
      </w:r>
      <w:r>
        <w:rPr>
          <w:rFonts w:hint="eastAsia"/>
          <w:lang w:val="en-US" w:eastAsia="zh-CN"/>
        </w:rPr>
        <w:t xml:space="preserve"> 100 + 10/tan(14°+ 0.5*25°) = 120 km</w:t>
      </w:r>
    </w:p>
    <w:p>
      <w:pPr>
        <w:pStyle w:val="4"/>
        <w:numPr>
          <w:ilvl w:val="0"/>
          <w:numId w:val="0"/>
        </w:numPr>
        <w:ind w:leftChars="400"/>
        <w:jc w:val="both"/>
        <w:rPr>
          <w:rFonts w:hint="default"/>
          <w:lang w:val="en-US" w:eastAsia="zh-CN"/>
        </w:rPr>
      </w:pPr>
      <w:r>
        <w:rPr>
          <w:rFonts w:hint="eastAsia"/>
          <w:lang w:val="en-US" w:eastAsia="zh-CN"/>
        </w:rPr>
        <w:t xml:space="preserve">For ISD = 200 km, Maximum distance between CPE and BS </w:t>
      </w:r>
      <w:r>
        <w:rPr>
          <w:rFonts w:hint="default" w:ascii="Arial" w:hAnsi="Arial" w:cs="Arial"/>
          <w:lang w:val="en-US" w:eastAsia="zh-CN"/>
        </w:rPr>
        <w:t>≈</w:t>
      </w:r>
      <w:r>
        <w:rPr>
          <w:rFonts w:hint="eastAsia"/>
          <w:lang w:val="en-US" w:eastAsia="zh-CN"/>
        </w:rPr>
        <w:t xml:space="preserve"> 200 + 10/tan(14°+ 0.5*25°) = 220 km</w:t>
      </w:r>
    </w:p>
    <w:p>
      <w:pPr>
        <w:pStyle w:val="4"/>
        <w:numPr>
          <w:ilvl w:val="0"/>
          <w:numId w:val="0"/>
        </w:numPr>
        <w:ind w:leftChars="400"/>
        <w:jc w:val="both"/>
        <w:rPr>
          <w:rFonts w:hint="eastAsia"/>
          <w:lang w:val="en-US" w:eastAsia="zh-CN"/>
        </w:rPr>
      </w:pPr>
      <w:r>
        <w:rPr>
          <w:rFonts w:hint="eastAsia"/>
          <w:lang w:val="en-US" w:eastAsia="zh-CN"/>
        </w:rPr>
        <w:t xml:space="preserve">Maximum distance between CPE and BS </w:t>
      </w:r>
      <w:r>
        <w:rPr>
          <w:rFonts w:hint="default" w:ascii="Arial" w:hAnsi="Arial" w:cs="Arial"/>
          <w:lang w:val="en-US" w:eastAsia="zh-CN"/>
        </w:rPr>
        <w:t>≈</w:t>
      </w:r>
      <w:r>
        <w:rPr>
          <w:rFonts w:hint="eastAsia" w:ascii="Arial" w:hAnsi="Arial" w:cs="Arial"/>
          <w:lang w:val="en-US" w:eastAsia="zh-CN"/>
        </w:rPr>
        <w:t xml:space="preserve"> </w:t>
      </w:r>
      <w:r>
        <w:rPr>
          <w:rFonts w:hint="eastAsia"/>
          <w:highlight w:val="yellow"/>
          <w:lang w:val="en-US" w:eastAsia="zh-CN"/>
        </w:rPr>
        <w:t>[120, 220]</w:t>
      </w:r>
      <w:r>
        <w:rPr>
          <w:rFonts w:hint="eastAsia"/>
          <w:lang w:val="en-US" w:eastAsia="zh-CN"/>
        </w:rPr>
        <w:t xml:space="preserve"> km.</w:t>
      </w:r>
    </w:p>
    <w:p>
      <w:pPr>
        <w:pStyle w:val="4"/>
        <w:numPr>
          <w:ilvl w:val="0"/>
          <w:numId w:val="9"/>
        </w:numPr>
        <w:ind w:left="840" w:leftChars="0" w:hanging="420" w:firstLineChars="0"/>
        <w:jc w:val="both"/>
        <w:rPr>
          <w:rFonts w:hint="default"/>
          <w:lang w:val="en-US" w:eastAsia="zh-CN"/>
        </w:rPr>
      </w:pPr>
      <w:r>
        <w:rPr>
          <w:rFonts w:hint="eastAsia"/>
          <w:lang w:val="en-US" w:eastAsia="zh-CN"/>
        </w:rPr>
        <w:t>For sub-array case</w:t>
      </w:r>
    </w:p>
    <w:p>
      <w:pPr>
        <w:pStyle w:val="4"/>
        <w:numPr>
          <w:ilvl w:val="0"/>
          <w:numId w:val="0"/>
        </w:numPr>
        <w:ind w:leftChars="400"/>
        <w:jc w:val="both"/>
        <w:rPr>
          <w:rFonts w:hint="default"/>
          <w:lang w:val="en-US" w:eastAsia="zh-CN"/>
        </w:rPr>
      </w:pPr>
      <w:r>
        <w:rPr>
          <w:rFonts w:hint="eastAsia"/>
          <w:lang w:val="en-US" w:eastAsia="zh-CN"/>
        </w:rPr>
        <w:t xml:space="preserve">For ISD = 100 km, Maximum distance between CPE and BS </w:t>
      </w:r>
      <w:r>
        <w:rPr>
          <w:rFonts w:hint="default" w:ascii="Arial" w:hAnsi="Arial" w:cs="Arial"/>
          <w:lang w:val="en-US" w:eastAsia="zh-CN"/>
        </w:rPr>
        <w:t>≈</w:t>
      </w:r>
      <w:r>
        <w:rPr>
          <w:rFonts w:hint="eastAsia"/>
          <w:lang w:val="en-US" w:eastAsia="zh-CN"/>
        </w:rPr>
        <w:t xml:space="preserve"> 100 + 10/tan(6.5°+ 0.5*10°) = 150 km</w:t>
      </w:r>
    </w:p>
    <w:p>
      <w:pPr>
        <w:pStyle w:val="4"/>
        <w:numPr>
          <w:ilvl w:val="0"/>
          <w:numId w:val="0"/>
        </w:numPr>
        <w:ind w:leftChars="400"/>
        <w:jc w:val="both"/>
        <w:rPr>
          <w:rFonts w:hint="default"/>
          <w:lang w:val="en-US" w:eastAsia="zh-CN"/>
        </w:rPr>
      </w:pPr>
      <w:r>
        <w:rPr>
          <w:rFonts w:hint="eastAsia"/>
          <w:lang w:val="en-US" w:eastAsia="zh-CN"/>
        </w:rPr>
        <w:t xml:space="preserve">For ISD = 200 km, Maximum distance between CPE and BS </w:t>
      </w:r>
      <w:r>
        <w:rPr>
          <w:rFonts w:hint="default" w:ascii="Arial" w:hAnsi="Arial" w:cs="Arial"/>
          <w:lang w:val="en-US" w:eastAsia="zh-CN"/>
        </w:rPr>
        <w:t>≈</w:t>
      </w:r>
      <w:r>
        <w:rPr>
          <w:rFonts w:hint="eastAsia"/>
          <w:lang w:val="en-US" w:eastAsia="zh-CN"/>
        </w:rPr>
        <w:t xml:space="preserve"> 200 + 10/tan(6.5°+ 0.5*10°) = 250 km</w:t>
      </w:r>
    </w:p>
    <w:p>
      <w:pPr>
        <w:pStyle w:val="4"/>
        <w:numPr>
          <w:ilvl w:val="0"/>
          <w:numId w:val="0"/>
        </w:numPr>
        <w:ind w:leftChars="400"/>
        <w:jc w:val="both"/>
        <w:rPr>
          <w:rFonts w:hint="default"/>
          <w:lang w:val="en-US" w:eastAsia="zh-CN"/>
        </w:rPr>
      </w:pPr>
      <w:r>
        <w:rPr>
          <w:rFonts w:hint="eastAsia"/>
          <w:lang w:val="en-US" w:eastAsia="zh-CN"/>
        </w:rPr>
        <w:t xml:space="preserve">Maximum distance between CPE and BS </w:t>
      </w:r>
      <w:r>
        <w:rPr>
          <w:rFonts w:hint="default" w:ascii="Arial" w:hAnsi="Arial" w:cs="Arial"/>
          <w:lang w:val="en-US" w:eastAsia="zh-CN"/>
        </w:rPr>
        <w:t>≈</w:t>
      </w:r>
      <w:r>
        <w:rPr>
          <w:rFonts w:hint="eastAsia" w:ascii="Arial" w:hAnsi="Arial" w:cs="Arial"/>
          <w:lang w:val="en-US" w:eastAsia="zh-CN"/>
        </w:rPr>
        <w:t xml:space="preserve"> </w:t>
      </w:r>
      <w:r>
        <w:rPr>
          <w:rFonts w:hint="eastAsia"/>
          <w:highlight w:val="yellow"/>
          <w:lang w:val="en-US" w:eastAsia="zh-CN"/>
        </w:rPr>
        <w:t>[150, 250]</w:t>
      </w:r>
      <w:r>
        <w:rPr>
          <w:rFonts w:hint="eastAsia"/>
          <w:lang w:val="en-US" w:eastAsia="zh-CN"/>
        </w:rPr>
        <w:t xml:space="preserve"> km.</w:t>
      </w:r>
    </w:p>
    <w:p>
      <w:pPr>
        <w:pStyle w:val="4"/>
        <w:numPr>
          <w:ilvl w:val="0"/>
          <w:numId w:val="0"/>
        </w:numPr>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Under the assumption of traditional TN deployment, considering the ISD of 100-200 km, the maximum distance between CPE and BS is 68-134 km or 58-115 km.</w:t>
      </w:r>
    </w:p>
    <w:p>
      <w:pPr>
        <w:pStyle w:val="4"/>
        <w:numPr>
          <w:ilvl w:val="0"/>
          <w:numId w:val="0"/>
        </w:numPr>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Under the assumption of horizon beam coverage deployment, considering the ISD of 100-200 km, the maximum distance between CPE and BS is 120-220 km for non sub-array case and 150-250 km for sub-array case.</w:t>
      </w:r>
    </w:p>
    <w:p>
      <w:pPr>
        <w:pStyle w:val="3"/>
        <w:numPr>
          <w:ilvl w:val="0"/>
          <w:numId w:val="0"/>
        </w:numPr>
        <w:bidi w:val="0"/>
        <w:ind w:leftChars="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2.2 UE assistance information(UE detecting and informing the NW)</w:t>
      </w:r>
    </w:p>
    <w:p>
      <w:pPr>
        <w:pStyle w:val="4"/>
        <w:rPr>
          <w:rFonts w:hint="eastAsia" w:eastAsia="宋体"/>
          <w:color w:val="auto"/>
          <w:sz w:val="20"/>
          <w:szCs w:val="20"/>
          <w:lang w:val="en-US" w:eastAsia="zh-CN"/>
        </w:rPr>
      </w:pPr>
      <w:r>
        <w:rPr>
          <w:rFonts w:hint="eastAsia" w:eastAsia="宋体"/>
          <w:color w:val="auto"/>
          <w:sz w:val="20"/>
          <w:szCs w:val="20"/>
          <w:lang w:val="en-US" w:eastAsia="zh-CN"/>
        </w:rPr>
        <w:t>During last meeting, regarding to UAI, the following options were captured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3"/>
              </w:numPr>
              <w:overflowPunct/>
              <w:autoSpaceDE/>
              <w:autoSpaceDN/>
              <w:adjustRightInd/>
              <w:spacing w:after="120"/>
              <w:ind w:left="1020" w:leftChars="0" w:firstLineChars="0"/>
              <w:textAlignment w:val="auto"/>
            </w:pPr>
            <w:r>
              <w:t>Option 1: The necessity to define RRM requirements based on assistant information should be investigated first for the related requirements. RAN1/RAN2 work is required. (HW, CATT)</w:t>
            </w:r>
          </w:p>
          <w:p>
            <w:pPr>
              <w:pStyle w:val="57"/>
              <w:bidi w:val="0"/>
              <w:ind w:left="1236" w:leftChars="0" w:hanging="360" w:firstLineChars="0"/>
            </w:pPr>
            <w:r>
              <w:t>Option 1-1: If there is obvious motivation and feasibility assurance when considering the other RRM requirements, introducing the report of relevant assistance information can be considered (CATT)</w:t>
            </w:r>
          </w:p>
          <w:p>
            <w:pPr>
              <w:pStyle w:val="57"/>
              <w:bidi w:val="0"/>
              <w:ind w:left="1236" w:leftChars="0" w:hanging="360" w:firstLineChars="0"/>
            </w:pPr>
            <w:r>
              <w:t>Option 1-2: Whether to introduce new UE assistant information will require RAN1/RAN2 work, which shall not be decided in WG level. (HW)</w:t>
            </w:r>
          </w:p>
          <w:p>
            <w:pPr>
              <w:pStyle w:val="28"/>
              <w:numPr>
                <w:ilvl w:val="0"/>
                <w:numId w:val="3"/>
              </w:numPr>
              <w:overflowPunct/>
              <w:autoSpaceDE/>
              <w:autoSpaceDN/>
              <w:adjustRightInd/>
              <w:spacing w:after="120"/>
              <w:ind w:left="1020" w:leftChars="0" w:firstLineChars="0"/>
              <w:textAlignment w:val="auto"/>
              <w:rPr>
                <w:rFonts w:hint="default"/>
                <w:vertAlign w:val="baseline"/>
                <w:lang w:val="en-US" w:eastAsia="zh-CN"/>
              </w:rPr>
            </w:pPr>
            <w:r>
              <w:rPr>
                <w:rFonts w:eastAsia="Yu Mincho"/>
              </w:rPr>
              <w:t>Option 2: There is no need to preclude new UAI and its reporting methods at this stage. Postpone the decision on assistance information (both UE-based and network-based) until the RRM requirement framework is clear (LGE, Apple)</w:t>
            </w:r>
          </w:p>
        </w:tc>
      </w:tr>
    </w:tbl>
    <w:p>
      <w:pPr>
        <w:pStyle w:val="4"/>
        <w:rPr>
          <w:rFonts w:hint="default" w:eastAsia="宋体"/>
          <w:color w:val="auto"/>
          <w:sz w:val="20"/>
          <w:szCs w:val="20"/>
          <w:lang w:val="en-US" w:eastAsia="zh-CN"/>
        </w:rPr>
      </w:pPr>
      <w:r>
        <w:rPr>
          <w:rFonts w:hint="eastAsia" w:eastAsia="宋体"/>
          <w:color w:val="auto"/>
          <w:sz w:val="20"/>
          <w:szCs w:val="20"/>
          <w:lang w:val="en-US" w:eastAsia="zh-CN"/>
        </w:rPr>
        <w:t>During previous several meetings, multiple types of UAI were discussed, including the UAI of altitude, location, velocity, flight path, propagation delay information and remaining service time for serving cell. It seems that all of these UAI are helpful to address the timing and frequency syn related issues caused by large ISD and high speed of moving.</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However, regarding to all of these UAI, we raise a common concern: Under the high speed of up to 1200km/h, whether the report from UE can be received by the NW in time enough? If not, it would be meaningless. </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Regarding to all of these UAI, a common concern is raised: Under the high speed of up to 1200km/h, whether the report from UE can be received by the NW in time enough? If not, it would be meaningless.</w:t>
      </w:r>
    </w:p>
    <w:p>
      <w:pPr>
        <w:pStyle w:val="4"/>
        <w:rPr>
          <w:rFonts w:hint="default" w:eastAsia="宋体"/>
          <w:color w:val="auto"/>
          <w:sz w:val="20"/>
          <w:szCs w:val="20"/>
          <w:lang w:val="en-US" w:eastAsia="zh-CN"/>
        </w:rPr>
      </w:pPr>
      <w:r>
        <w:rPr>
          <w:rFonts w:hint="default" w:eastAsia="宋体"/>
          <w:color w:val="auto"/>
          <w:sz w:val="20"/>
          <w:szCs w:val="20"/>
          <w:lang w:val="en-US" w:eastAsia="zh-CN"/>
        </w:rPr>
        <w:t>To our understanding, when we talking about whether UE need to report the UAI or not, a key point is whether UE performs pre-compensation. If UE would perform time/frequency pre-compensation, the UAI such as altitude, location</w:t>
      </w:r>
      <w:r>
        <w:rPr>
          <w:rFonts w:hint="eastAsia" w:eastAsia="宋体"/>
          <w:color w:val="auto"/>
          <w:sz w:val="20"/>
          <w:szCs w:val="20"/>
          <w:lang w:val="en-US" w:eastAsia="zh-CN"/>
        </w:rPr>
        <w:t>,</w:t>
      </w:r>
      <w:r>
        <w:rPr>
          <w:rFonts w:hint="default" w:eastAsia="宋体"/>
          <w:color w:val="auto"/>
          <w:sz w:val="20"/>
          <w:szCs w:val="20"/>
          <w:lang w:val="en-US" w:eastAsia="zh-CN"/>
        </w:rPr>
        <w:t xml:space="preserve"> velocity </w:t>
      </w:r>
      <w:r>
        <w:rPr>
          <w:rFonts w:hint="eastAsia" w:eastAsia="宋体"/>
          <w:color w:val="auto"/>
          <w:sz w:val="20"/>
          <w:szCs w:val="20"/>
          <w:lang w:val="en-US" w:eastAsia="zh-CN"/>
        </w:rPr>
        <w:t xml:space="preserve">and flight path </w:t>
      </w:r>
      <w:r>
        <w:rPr>
          <w:rFonts w:hint="default" w:eastAsia="宋体"/>
          <w:color w:val="auto"/>
          <w:sz w:val="20"/>
          <w:szCs w:val="20"/>
          <w:lang w:val="en-US" w:eastAsia="zh-CN"/>
        </w:rPr>
        <w:t xml:space="preserve">are almost useless for NW. </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Observation 4: If UE would perform time/frequency pre-compensation, the UAI such as altitude, location, velocity and flight path are almost useless for NW. </w:t>
      </w:r>
    </w:p>
    <w:p>
      <w:pPr>
        <w:pStyle w:val="4"/>
        <w:rPr>
          <w:rFonts w:hint="eastAsia" w:eastAsia="宋体"/>
          <w:color w:val="auto"/>
          <w:sz w:val="20"/>
          <w:szCs w:val="20"/>
          <w:lang w:val="en-US" w:eastAsia="zh-CN"/>
        </w:rPr>
      </w:pPr>
      <w:r>
        <w:rPr>
          <w:rFonts w:hint="default" w:eastAsia="宋体"/>
          <w:color w:val="auto"/>
          <w:sz w:val="20"/>
          <w:szCs w:val="20"/>
          <w:lang w:val="en-US" w:eastAsia="zh-CN"/>
        </w:rPr>
        <w:t>Referring to the timing related UAI, such as propagation delay estimation, such info can help NW to identify the overlapping between DL slot and UL slot due to large propagation delay</w:t>
      </w:r>
      <w:r>
        <w:rPr>
          <w:rFonts w:hint="eastAsia" w:eastAsia="宋体"/>
          <w:color w:val="auto"/>
          <w:sz w:val="20"/>
          <w:szCs w:val="20"/>
          <w:lang w:val="en-US" w:eastAsia="zh-CN"/>
        </w:rPr>
        <w:t xml:space="preserve"> so as to help NW identify the suitable TDD pattern</w:t>
      </w:r>
      <w:r>
        <w:rPr>
          <w:rFonts w:hint="default" w:eastAsia="宋体"/>
          <w:color w:val="auto"/>
          <w:sz w:val="20"/>
          <w:szCs w:val="20"/>
          <w:lang w:val="en-US" w:eastAsia="zh-CN"/>
        </w:rPr>
        <w:t xml:space="preserve">. </w:t>
      </w:r>
      <w:r>
        <w:rPr>
          <w:rFonts w:hint="eastAsia" w:eastAsia="宋体"/>
          <w:color w:val="auto"/>
          <w:sz w:val="20"/>
          <w:szCs w:val="20"/>
          <w:lang w:val="en-US" w:eastAsia="zh-CN"/>
        </w:rPr>
        <w:t>But the gain brought by such UAI depends on the common concern, whether the report is in time enough. When UE estimate the propagation delay, it should predict the value when NW receives such UAI report. The accuracy of such predict would determine the effect.</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5: When UE estimate the propagation delay, it should predict the value when NW receives such UAI report. The accuracy of such predict would determine the effect.</w:t>
      </w:r>
    </w:p>
    <w:p>
      <w:pPr>
        <w:pStyle w:val="4"/>
        <w:rPr>
          <w:rFonts w:hint="eastAsia" w:eastAsia="宋体"/>
          <w:color w:val="auto"/>
          <w:sz w:val="20"/>
          <w:szCs w:val="20"/>
          <w:lang w:val="en-US" w:eastAsia="zh-CN"/>
        </w:rPr>
      </w:pPr>
      <w:r>
        <w:rPr>
          <w:rFonts w:hint="eastAsia" w:eastAsia="宋体"/>
          <w:color w:val="auto"/>
          <w:sz w:val="20"/>
          <w:szCs w:val="20"/>
          <w:lang w:val="en-US" w:eastAsia="zh-CN"/>
        </w:rPr>
        <w:t>Regarding to the service related UAI, such as the remaining service time, we are not sure how to estimate such info by UE, Since all scheduling decision is up to NW.</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6: Regarding to the service related UAI, such as the remaining service time, we are not sure how to estimate such info by UE, Since all scheduling decision is up to NW.</w:t>
      </w:r>
    </w:p>
    <w:p>
      <w:pPr>
        <w:pStyle w:val="4"/>
        <w:rPr>
          <w:rFonts w:hint="default" w:eastAsia="宋体"/>
          <w:color w:val="auto"/>
          <w:sz w:val="20"/>
          <w:szCs w:val="20"/>
          <w:lang w:val="en-US" w:eastAsia="zh-CN"/>
        </w:rPr>
      </w:pPr>
      <w:r>
        <w:rPr>
          <w:rFonts w:hint="eastAsia" w:eastAsia="宋体"/>
          <w:color w:val="auto"/>
          <w:sz w:val="20"/>
          <w:szCs w:val="20"/>
          <w:lang w:val="en-US" w:eastAsia="zh-CN"/>
        </w:rPr>
        <w:t>In a whole, based on our above analysis, we can not see obvious motivation and feasibility guarantee to introduce the above UAI report.</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Based on our above analysis, we can not see obvious motivation and feasibility guarantee to introduce the above UAI report.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consideration of general RRM aspects for ATG system</w:t>
      </w:r>
      <w:r>
        <w:rPr>
          <w:rFonts w:eastAsia="宋体"/>
          <w:bCs/>
          <w:color w:val="auto"/>
          <w:sz w:val="20"/>
          <w:szCs w:val="20"/>
          <w:lang w:val="en-GB" w:eastAsia="zh-CN"/>
        </w:rPr>
        <w:t>:</w:t>
      </w:r>
    </w:p>
    <w:p>
      <w:pPr>
        <w:pStyle w:val="4"/>
        <w:numPr>
          <w:ilvl w:val="0"/>
          <w:numId w:val="0"/>
        </w:numPr>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Under the assumption of traditional TN deployment, considering the ISD of 100-200 km, the maximum distance between CPE and BS is 68-134 km or 58-115 km.</w:t>
      </w:r>
    </w:p>
    <w:p>
      <w:pPr>
        <w:pStyle w:val="4"/>
        <w:numPr>
          <w:ilvl w:val="0"/>
          <w:numId w:val="0"/>
        </w:numPr>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Under the assumption of horizon beam coverage deployment, considering the ISD of 100-200 km, the maximum distance between CPE and BS is 120-220 km for non sub-array case and 150-250 km for sub-array case.</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Regarding to all of these UAI, a common concern is raised: Under the high speed of up to 1200km/h, whether the report from UE can be received by the NW in time enough? If not, it would be meaningless.</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Observation 4: If UE would perform time/frequency pre-compensation, the UAI such as altitude, location, velocity and flight path are almost useless for NW. </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5: When UE estimate the propagation delay, it should predict the value when NW receives such UAI report. The accuracy of such predict would determine the effect.</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6: Regarding to the service related UAI, such as the remaining service time, we are not sure how to estimate such info by UE, Since all scheduling decision is up to NW.</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Based on our above analysis, we can not see obvious motivation and feasibility guarantee to introduce the above UAI report.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0" w:leftChars="0" w:firstLine="0" w:firstLineChars="0"/>
        <w:rPr>
          <w:rFonts w:hint="eastAsia"/>
          <w:color w:val="auto"/>
          <w:lang w:val="en-US" w:eastAsia="zh-CN"/>
        </w:rPr>
      </w:pPr>
      <w:r>
        <w:rPr>
          <w:rFonts w:hint="eastAsia"/>
          <w:color w:val="auto"/>
          <w:lang w:val="en-US" w:eastAsia="zh-CN"/>
        </w:rPr>
        <w:t xml:space="preserve">R4-2303226 </w:t>
      </w:r>
      <w:r>
        <w:rPr>
          <w:rFonts w:hint="default"/>
          <w:color w:val="auto"/>
          <w:lang w:val="en-US" w:eastAsia="zh-CN"/>
        </w:rPr>
        <w:t>“</w:t>
      </w:r>
      <w:bookmarkStart w:id="0" w:name="_Hlk41145953"/>
      <w:r>
        <w:rPr>
          <w:rFonts w:hint="default"/>
          <w:color w:val="auto"/>
          <w:lang w:val="en-US" w:eastAsia="zh-CN"/>
        </w:rPr>
        <w:t>WF on NR ATG RRM</w:t>
      </w:r>
      <w:bookmarkEnd w:id="0"/>
      <w:r>
        <w:rPr>
          <w:rFonts w:hint="default"/>
          <w:color w:val="auto"/>
          <w:lang w:val="en-US" w:eastAsia="zh-CN"/>
        </w:rPr>
        <w:t xml:space="preserve"> requirements”</w:t>
      </w:r>
      <w:r>
        <w:rPr>
          <w:rFonts w:hint="eastAsia"/>
          <w:color w:val="auto"/>
          <w:lang w:val="en-US" w:eastAsia="zh-CN"/>
        </w:rPr>
        <w:t>, CMCC</w:t>
      </w:r>
    </w:p>
    <w:p>
      <w:pPr>
        <w:pStyle w:val="9"/>
        <w:numPr>
          <w:ilvl w:val="0"/>
          <w:numId w:val="10"/>
        </w:numPr>
        <w:ind w:left="0" w:leftChars="0" w:firstLine="0" w:firstLineChars="0"/>
        <w:rPr>
          <w:rFonts w:hint="default"/>
          <w:color w:val="auto"/>
          <w:lang w:val="en-US" w:eastAsia="zh-CN"/>
        </w:rPr>
      </w:pPr>
      <w:r>
        <w:rPr>
          <w:rFonts w:hint="eastAsia"/>
          <w:color w:val="auto"/>
          <w:lang w:val="en-US" w:eastAsia="zh-CN"/>
        </w:rPr>
        <w:t xml:space="preserve">R4-2302776 </w:t>
      </w:r>
      <w:r>
        <w:rPr>
          <w:rFonts w:hint="default"/>
          <w:color w:val="auto"/>
          <w:lang w:val="en-US" w:eastAsia="zh-CN"/>
        </w:rPr>
        <w:t>“Topic summary for [106][218] NR_ATG”</w:t>
      </w:r>
      <w:r>
        <w:rPr>
          <w:rFonts w:hint="eastAsia"/>
          <w:color w:val="auto"/>
          <w:lang w:val="en-US" w:eastAsia="zh-CN"/>
        </w:rPr>
        <w:t>, CMCC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E9AC91F1"/>
    <w:multiLevelType w:val="singleLevel"/>
    <w:tmpl w:val="E9AC91F1"/>
    <w:lvl w:ilvl="0" w:tentative="0">
      <w:start w:val="1"/>
      <w:numFmt w:val="bullet"/>
      <w:lvlText w:val=""/>
      <w:lvlJc w:val="left"/>
      <w:pPr>
        <w:tabs>
          <w:tab w:val="left" w:pos="420"/>
        </w:tabs>
        <w:ind w:left="84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D9EEBAA"/>
    <w:multiLevelType w:val="singleLevel"/>
    <w:tmpl w:val="1D9EEBAA"/>
    <w:lvl w:ilvl="0" w:tentative="0">
      <w:start w:val="1"/>
      <w:numFmt w:val="bullet"/>
      <w:lvlText w:val=""/>
      <w:lvlJc w:val="left"/>
      <w:pPr>
        <w:ind w:left="420" w:hanging="420"/>
      </w:pPr>
      <w:rPr>
        <w:rFonts w:hint="default" w:ascii="Wingdings" w:hAnsi="Wingdings"/>
      </w:rPr>
    </w:lvl>
  </w:abstractNum>
  <w:abstractNum w:abstractNumId="4">
    <w:nsid w:val="3D5DD7F5"/>
    <w:multiLevelType w:val="singleLevel"/>
    <w:tmpl w:val="3D5DD7F5"/>
    <w:lvl w:ilvl="0" w:tentative="0">
      <w:start w:val="1"/>
      <w:numFmt w:val="bullet"/>
      <w:lvlText w:val=""/>
      <w:lvlJc w:val="left"/>
      <w:pPr>
        <w:ind w:left="420" w:hanging="420"/>
      </w:pPr>
      <w:rPr>
        <w:rFonts w:hint="default" w:ascii="Wingdings" w:hAnsi="Wingdings"/>
      </w:rPr>
    </w:lvl>
  </w:abstractNum>
  <w:abstractNum w:abstractNumId="5">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6">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7"/>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5DCDF27E"/>
    <w:multiLevelType w:val="singleLevel"/>
    <w:tmpl w:val="5DCDF27E"/>
    <w:lvl w:ilvl="0" w:tentative="0">
      <w:start w:val="1"/>
      <w:numFmt w:val="bullet"/>
      <w:lvlText w:val=""/>
      <w:lvlJc w:val="left"/>
      <w:pPr>
        <w:ind w:left="420" w:hanging="420"/>
      </w:pPr>
      <w:rPr>
        <w:rFonts w:hint="default" w:ascii="Wingdings" w:hAnsi="Wingdings"/>
      </w:rPr>
    </w:lvl>
  </w:abstractNum>
  <w:abstractNum w:abstractNumId="9">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6"/>
  </w:num>
  <w:num w:numId="3">
    <w:abstractNumId w:val="7"/>
  </w:num>
  <w:num w:numId="4">
    <w:abstractNumId w:val="2"/>
  </w:num>
  <w:num w:numId="5">
    <w:abstractNumId w:val="5"/>
  </w:num>
  <w:num w:numId="6">
    <w:abstractNumId w:val="8"/>
  </w:num>
  <w:num w:numId="7">
    <w:abstractNumId w:val="3"/>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226EA6"/>
    <w:rsid w:val="06963BA6"/>
    <w:rsid w:val="076F5BD5"/>
    <w:rsid w:val="07CD3CDD"/>
    <w:rsid w:val="083E6EA0"/>
    <w:rsid w:val="0855671D"/>
    <w:rsid w:val="089009EB"/>
    <w:rsid w:val="08EA2407"/>
    <w:rsid w:val="09716BCA"/>
    <w:rsid w:val="09D64B23"/>
    <w:rsid w:val="09E644B8"/>
    <w:rsid w:val="0A867423"/>
    <w:rsid w:val="0AB155C2"/>
    <w:rsid w:val="0B12013A"/>
    <w:rsid w:val="0B3D3C2F"/>
    <w:rsid w:val="0BB0429A"/>
    <w:rsid w:val="0BDD6CEC"/>
    <w:rsid w:val="0BFF5FC6"/>
    <w:rsid w:val="0C394019"/>
    <w:rsid w:val="0CD05342"/>
    <w:rsid w:val="0CDB4E5B"/>
    <w:rsid w:val="0DEE745F"/>
    <w:rsid w:val="0F320DDE"/>
    <w:rsid w:val="0FAD3D1E"/>
    <w:rsid w:val="0FF23B33"/>
    <w:rsid w:val="102263EF"/>
    <w:rsid w:val="10997F43"/>
    <w:rsid w:val="10DE7BAE"/>
    <w:rsid w:val="120774A3"/>
    <w:rsid w:val="12112440"/>
    <w:rsid w:val="12887761"/>
    <w:rsid w:val="12C80206"/>
    <w:rsid w:val="14006D19"/>
    <w:rsid w:val="145F7CF8"/>
    <w:rsid w:val="1481754F"/>
    <w:rsid w:val="148F32AB"/>
    <w:rsid w:val="148F5721"/>
    <w:rsid w:val="14AC57CD"/>
    <w:rsid w:val="15ED3E9B"/>
    <w:rsid w:val="164514BE"/>
    <w:rsid w:val="166B2EA9"/>
    <w:rsid w:val="16D4089E"/>
    <w:rsid w:val="16E73296"/>
    <w:rsid w:val="16FB7CA4"/>
    <w:rsid w:val="170F06AA"/>
    <w:rsid w:val="17225508"/>
    <w:rsid w:val="17B07FBC"/>
    <w:rsid w:val="180A6E32"/>
    <w:rsid w:val="183F2CD2"/>
    <w:rsid w:val="1856323E"/>
    <w:rsid w:val="18AF55E3"/>
    <w:rsid w:val="18B077E2"/>
    <w:rsid w:val="18B1519A"/>
    <w:rsid w:val="18CD0507"/>
    <w:rsid w:val="18F36BA5"/>
    <w:rsid w:val="195D7D48"/>
    <w:rsid w:val="1AD01A1B"/>
    <w:rsid w:val="1B61065A"/>
    <w:rsid w:val="1BBF3927"/>
    <w:rsid w:val="1C177B08"/>
    <w:rsid w:val="1C9001C6"/>
    <w:rsid w:val="1C900A6F"/>
    <w:rsid w:val="1CBA2101"/>
    <w:rsid w:val="1D0573D7"/>
    <w:rsid w:val="1D153DC4"/>
    <w:rsid w:val="1D223E0B"/>
    <w:rsid w:val="1D317C9F"/>
    <w:rsid w:val="1E132F88"/>
    <w:rsid w:val="1E2867E9"/>
    <w:rsid w:val="1E853F6F"/>
    <w:rsid w:val="1E9C7BCC"/>
    <w:rsid w:val="1ECC1E3C"/>
    <w:rsid w:val="208364FC"/>
    <w:rsid w:val="208953F9"/>
    <w:rsid w:val="2097232D"/>
    <w:rsid w:val="21014C39"/>
    <w:rsid w:val="21244EB1"/>
    <w:rsid w:val="213964D8"/>
    <w:rsid w:val="21595D04"/>
    <w:rsid w:val="21F13629"/>
    <w:rsid w:val="223236B6"/>
    <w:rsid w:val="2255462C"/>
    <w:rsid w:val="2305377E"/>
    <w:rsid w:val="23901822"/>
    <w:rsid w:val="24122135"/>
    <w:rsid w:val="24D4257E"/>
    <w:rsid w:val="25457F06"/>
    <w:rsid w:val="2572202B"/>
    <w:rsid w:val="2605683C"/>
    <w:rsid w:val="26BB1419"/>
    <w:rsid w:val="27B748AA"/>
    <w:rsid w:val="27CB4CB9"/>
    <w:rsid w:val="281C2F58"/>
    <w:rsid w:val="29642C4B"/>
    <w:rsid w:val="2A34628C"/>
    <w:rsid w:val="2A724D05"/>
    <w:rsid w:val="2A7E505C"/>
    <w:rsid w:val="2AC85686"/>
    <w:rsid w:val="2AD04B5F"/>
    <w:rsid w:val="2BC05B2C"/>
    <w:rsid w:val="2BD617C5"/>
    <w:rsid w:val="2C112837"/>
    <w:rsid w:val="2C9B1252"/>
    <w:rsid w:val="2C9C2786"/>
    <w:rsid w:val="2CC13667"/>
    <w:rsid w:val="2E014790"/>
    <w:rsid w:val="2EE77680"/>
    <w:rsid w:val="2F2F0FC8"/>
    <w:rsid w:val="2FA70460"/>
    <w:rsid w:val="301C6BB6"/>
    <w:rsid w:val="30C9008F"/>
    <w:rsid w:val="319708F2"/>
    <w:rsid w:val="31A8260E"/>
    <w:rsid w:val="31B14C9E"/>
    <w:rsid w:val="332B149D"/>
    <w:rsid w:val="33C522D7"/>
    <w:rsid w:val="344C156B"/>
    <w:rsid w:val="34807672"/>
    <w:rsid w:val="35B06C6A"/>
    <w:rsid w:val="366149EB"/>
    <w:rsid w:val="36941AA2"/>
    <w:rsid w:val="36D37423"/>
    <w:rsid w:val="379D23F9"/>
    <w:rsid w:val="3A185287"/>
    <w:rsid w:val="3A1F46B8"/>
    <w:rsid w:val="3A692CD0"/>
    <w:rsid w:val="3AAE4AA7"/>
    <w:rsid w:val="3AF23299"/>
    <w:rsid w:val="3B270929"/>
    <w:rsid w:val="3B3D5571"/>
    <w:rsid w:val="3B673620"/>
    <w:rsid w:val="3B9A1F29"/>
    <w:rsid w:val="3C6E311D"/>
    <w:rsid w:val="3CE4646B"/>
    <w:rsid w:val="3CFC1228"/>
    <w:rsid w:val="3D5E7AA8"/>
    <w:rsid w:val="3D6F2596"/>
    <w:rsid w:val="3D946587"/>
    <w:rsid w:val="405F175E"/>
    <w:rsid w:val="40C765F3"/>
    <w:rsid w:val="42F869D2"/>
    <w:rsid w:val="43553536"/>
    <w:rsid w:val="44972678"/>
    <w:rsid w:val="451632B9"/>
    <w:rsid w:val="45906394"/>
    <w:rsid w:val="45F60A50"/>
    <w:rsid w:val="46142D0C"/>
    <w:rsid w:val="46263A53"/>
    <w:rsid w:val="46970A81"/>
    <w:rsid w:val="46B036BF"/>
    <w:rsid w:val="46CC320F"/>
    <w:rsid w:val="46F633A5"/>
    <w:rsid w:val="47282363"/>
    <w:rsid w:val="47810C98"/>
    <w:rsid w:val="47924F0A"/>
    <w:rsid w:val="480571D7"/>
    <w:rsid w:val="48F407FD"/>
    <w:rsid w:val="49DC4EAC"/>
    <w:rsid w:val="49E55BC5"/>
    <w:rsid w:val="4A5D0BB5"/>
    <w:rsid w:val="4B600E77"/>
    <w:rsid w:val="4B8F684D"/>
    <w:rsid w:val="4BF02011"/>
    <w:rsid w:val="4C1C63D6"/>
    <w:rsid w:val="4C2D52ED"/>
    <w:rsid w:val="4C864A35"/>
    <w:rsid w:val="4D207A05"/>
    <w:rsid w:val="4D53283E"/>
    <w:rsid w:val="4E015C76"/>
    <w:rsid w:val="4E0D3218"/>
    <w:rsid w:val="4E310026"/>
    <w:rsid w:val="4E4A2325"/>
    <w:rsid w:val="4ED42F55"/>
    <w:rsid w:val="4FC7362A"/>
    <w:rsid w:val="501A6C55"/>
    <w:rsid w:val="50FF2EDD"/>
    <w:rsid w:val="515B1740"/>
    <w:rsid w:val="51B14BED"/>
    <w:rsid w:val="51E51984"/>
    <w:rsid w:val="52526454"/>
    <w:rsid w:val="525C1CEF"/>
    <w:rsid w:val="528B5767"/>
    <w:rsid w:val="52D33625"/>
    <w:rsid w:val="53A3105E"/>
    <w:rsid w:val="53C64B93"/>
    <w:rsid w:val="548A6C60"/>
    <w:rsid w:val="55B1164D"/>
    <w:rsid w:val="55B4735E"/>
    <w:rsid w:val="55BB221D"/>
    <w:rsid w:val="56371459"/>
    <w:rsid w:val="56484633"/>
    <w:rsid w:val="57FF4799"/>
    <w:rsid w:val="58493723"/>
    <w:rsid w:val="58D0053D"/>
    <w:rsid w:val="595A2A3C"/>
    <w:rsid w:val="598C40A0"/>
    <w:rsid w:val="598E25F2"/>
    <w:rsid w:val="59DA647E"/>
    <w:rsid w:val="5A556E1A"/>
    <w:rsid w:val="5BF92FF2"/>
    <w:rsid w:val="5C471E62"/>
    <w:rsid w:val="5C924E81"/>
    <w:rsid w:val="5E2864D0"/>
    <w:rsid w:val="5E494511"/>
    <w:rsid w:val="5EB44FC0"/>
    <w:rsid w:val="5FBA395F"/>
    <w:rsid w:val="60094E5C"/>
    <w:rsid w:val="606F38F4"/>
    <w:rsid w:val="60CB1A8B"/>
    <w:rsid w:val="60EC2CBA"/>
    <w:rsid w:val="61CC2D28"/>
    <w:rsid w:val="635902CD"/>
    <w:rsid w:val="63DA1C8E"/>
    <w:rsid w:val="64706BBE"/>
    <w:rsid w:val="64F03EAD"/>
    <w:rsid w:val="64F2095B"/>
    <w:rsid w:val="65A16A49"/>
    <w:rsid w:val="67A858DB"/>
    <w:rsid w:val="67FE4166"/>
    <w:rsid w:val="68C401C3"/>
    <w:rsid w:val="69A833BD"/>
    <w:rsid w:val="69EF6835"/>
    <w:rsid w:val="6BAB7FC7"/>
    <w:rsid w:val="6D301A35"/>
    <w:rsid w:val="6D566F0F"/>
    <w:rsid w:val="6D836F72"/>
    <w:rsid w:val="6DDE3DAF"/>
    <w:rsid w:val="6DE731FD"/>
    <w:rsid w:val="6E3241BE"/>
    <w:rsid w:val="6E774C75"/>
    <w:rsid w:val="6EB97A9D"/>
    <w:rsid w:val="6EF10A90"/>
    <w:rsid w:val="6EFC7DED"/>
    <w:rsid w:val="6F2A7FBF"/>
    <w:rsid w:val="6FFF1868"/>
    <w:rsid w:val="7007017A"/>
    <w:rsid w:val="715F4C2D"/>
    <w:rsid w:val="71920E5A"/>
    <w:rsid w:val="71B31077"/>
    <w:rsid w:val="722F78FB"/>
    <w:rsid w:val="723C2F8E"/>
    <w:rsid w:val="723D67C5"/>
    <w:rsid w:val="726A5F44"/>
    <w:rsid w:val="72BF60CA"/>
    <w:rsid w:val="72F41282"/>
    <w:rsid w:val="733D0D32"/>
    <w:rsid w:val="73B76769"/>
    <w:rsid w:val="73D411F1"/>
    <w:rsid w:val="74A356B2"/>
    <w:rsid w:val="753811DE"/>
    <w:rsid w:val="75626EA8"/>
    <w:rsid w:val="75BE67D4"/>
    <w:rsid w:val="75C2004C"/>
    <w:rsid w:val="75C759C1"/>
    <w:rsid w:val="76281B03"/>
    <w:rsid w:val="762D64F3"/>
    <w:rsid w:val="762E20AD"/>
    <w:rsid w:val="767E7EFF"/>
    <w:rsid w:val="775B4604"/>
    <w:rsid w:val="77C067C3"/>
    <w:rsid w:val="78074939"/>
    <w:rsid w:val="78911E31"/>
    <w:rsid w:val="78F9732D"/>
    <w:rsid w:val="79222E49"/>
    <w:rsid w:val="7922350F"/>
    <w:rsid w:val="792B5470"/>
    <w:rsid w:val="796B3C3F"/>
    <w:rsid w:val="79A66350"/>
    <w:rsid w:val="7A9367CB"/>
    <w:rsid w:val="7AF22571"/>
    <w:rsid w:val="7B0720CF"/>
    <w:rsid w:val="7B4C0E47"/>
    <w:rsid w:val="7B69224B"/>
    <w:rsid w:val="7BE80F25"/>
    <w:rsid w:val="7C1C35A7"/>
    <w:rsid w:val="7C45431D"/>
    <w:rsid w:val="7CEF4E07"/>
    <w:rsid w:val="7D25352B"/>
    <w:rsid w:val="7D3219D5"/>
    <w:rsid w:val="7DDD0501"/>
    <w:rsid w:val="7DE51372"/>
    <w:rsid w:val="7E12184C"/>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2023-04-10T08:35:25Z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